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Об утверждении Порядка уведомления работодателя о фактах 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обращения в целях склонения работников, замещающих отдельные 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должности на основании трудового договора в организациях, созданных 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для выполнения задач, поставленных перед Следственным комитетом 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Российской Федерации, к совершению коррупционных правонарушений</w:t>
      </w:r>
    </w:p>
    <w:p w:rsidR="00214B17" w:rsidRPr="00214B17" w:rsidRDefault="00214B17" w:rsidP="00214B17">
      <w:pPr>
        <w:spacing w:after="0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214B17" w:rsidRPr="00214B17" w:rsidRDefault="00214B17" w:rsidP="00214B17">
      <w:pPr>
        <w:spacing w:after="0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Зарегистрирован в Минюсте РФ 19 ноября 2015 г.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Регистрационный № 39774</w:t>
      </w:r>
    </w:p>
    <w:p w:rsidR="00214B17" w:rsidRPr="00214B17" w:rsidRDefault="00214B17" w:rsidP="00214B17">
      <w:pPr>
        <w:spacing w:after="0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 соответствии со статьей 11</w:t>
      </w:r>
      <w:r w:rsidRPr="00214B17">
        <w:rPr>
          <w:rFonts w:ascii="Arial" w:eastAsia="Times New Roman" w:hAnsi="Arial" w:cs="Arial"/>
          <w:color w:val="2B2B2B"/>
          <w:sz w:val="21"/>
          <w:szCs w:val="21"/>
          <w:vertAlign w:val="superscript"/>
          <w:lang w:eastAsia="ru-RU"/>
        </w:rPr>
        <w:t>1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Федерального закона от 25.12.2008 № 273-ФЗ «О противодействии коррупции» (Собрание законодательства Российской Федерации, 2008, № 52, ст. 6228; 2011, № 29, ст. 4291; № 48, ст. 6730; 2012, № 50, ст. 6954; № 53, ст. 7605; 2013, № 19, ст. 2329; № 40, ст. 5031; № 52, ст. 6961;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2014, № 52, ст. 7542), руководствуясь пунктом 43 Положения о Следственном комитете Российской Федерации, утвержденного Указом Президента Российской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№ 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26, ст. 3497; № 28, ст. 3880; № 48, ст. 6662; 2013, № 49, ст. 6399; 2014, № 15, ст. 1726; № 21, ст. 2683; № 26, ст. 3528; № 30, ст. 4286; № 36, ст. 4834; 2015, № 10, ст. 1510; № 13, ст. 1909; № 21, ст. 3092),</w:t>
      </w:r>
      <w:proofErr w:type="gramEnd"/>
    </w:p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  <w:proofErr w:type="gramStart"/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П</w:t>
      </w:r>
      <w:proofErr w:type="gramEnd"/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 xml:space="preserve"> Р И К А З Ы В А Ю: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1. Утвердить прилагаемый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2. Руководителям организаций, созданных для выполнения задач, поставленных перед Следственным комитетом Российской Федерации: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организовать работу по реализации положений настоящего приказа;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обеспечить регистрацию поступающих уведомлений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 (далее – уведомление);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организовать проверку сведений, содержащихся в уведомлениях.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3.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Контроль за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214B17" w:rsidRPr="00214B17" w:rsidRDefault="00214B17" w:rsidP="00214B17">
      <w:pPr>
        <w:spacing w:before="288" w:after="288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 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9000"/>
        <w:gridCol w:w="3300"/>
      </w:tblGrid>
      <w:tr w:rsidR="00214B17" w:rsidRPr="00214B17" w:rsidTr="00214B17">
        <w:tc>
          <w:tcPr>
            <w:tcW w:w="9000" w:type="dxa"/>
            <w:vAlign w:val="bottom"/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Председатель Следственного комитета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lang w:eastAsia="ru-RU"/>
              </w:rPr>
              <w:t> 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Российской Федерации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lang w:eastAsia="ru-RU"/>
              </w:rPr>
              <w:t> 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righ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А.И. </w:t>
            </w:r>
            <w:proofErr w:type="spellStart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Бастрыкин</w:t>
            </w:r>
            <w:proofErr w:type="spellEnd"/>
          </w:p>
        </w:tc>
      </w:tr>
    </w:tbl>
    <w:p w:rsidR="00214B17" w:rsidRPr="00214B17" w:rsidRDefault="00214B17" w:rsidP="00214B17">
      <w:pPr>
        <w:spacing w:before="288" w:after="288" w:line="378" w:lineRule="atLeast"/>
        <w:jc w:val="righ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214B17" w:rsidRPr="00214B17" w:rsidRDefault="00214B17" w:rsidP="00214B17">
      <w:pPr>
        <w:spacing w:before="288" w:after="288" w:line="378" w:lineRule="atLeast"/>
        <w:jc w:val="righ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УТВЕРЖДЕН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приказом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Следственного комитета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Российской Федерации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от 22.10.2015 № 93</w:t>
      </w:r>
    </w:p>
    <w:p w:rsidR="00214B17" w:rsidRPr="00214B17" w:rsidRDefault="00214B17" w:rsidP="00214B17">
      <w:pPr>
        <w:spacing w:after="0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Порядок </w:t>
      </w:r>
    </w:p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уведомления работодателя о фактах обращения в целях склонения 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работников, замещающих отдельные должности на основании 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трудового договора в организациях, созданных для выполнения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 задач, поставленных перед Следственным комитетом Российской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 Федерации, к совершению коррупционных правонарушений</w:t>
      </w:r>
    </w:p>
    <w:p w:rsidR="00214B17" w:rsidRPr="00214B17" w:rsidRDefault="00214B17" w:rsidP="00214B17">
      <w:pPr>
        <w:spacing w:before="288" w:after="288" w:line="378" w:lineRule="atLeast"/>
        <w:jc w:val="righ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1. 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 устанавливает процедуру уведомления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– организация), включенные в Перечень должностей, замещаемых на основании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несовершеннолетних детей, утвержденный приказом Председателя Следственного комитета Российской Федерации от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12.08.2014 № 68 (зарегистрирован в Минюсте России 28.08.2014, регистрационный № 33894) (далее – работники).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2. Уведомление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3. 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к совершению коррупционных правонарушений, вправе уведомлять об этом работодателя в соответствии с Порядком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комитетом Российской Федерации, к совершению коррупционных правонарушений.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4. Уведомление работодателя о фактах обращения в целях склонения работника к совершению коррупционных правонарушений (далее – уведомление) составляется в письменном виде.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Уведомление работником составляется на имя руководителя организации и не позднее рабочего дня, следующего за днем поступления предложения о совершении коррупционного правонарушения, передается лично либо при отсутствии таковой возможности - по каналам факсимильной связи в кадровое подразделение организации для регистрации и доклада руководителю организации.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5. В случае нахождения работника в отпуске, в командировке, вне пределов места работы он обязан направить уведомление в кадровое подразделение организации посредством любого доступного средства связи, а по прибытии к месту работы – составить и передать уведомление в кадровое подразделение организации не позднее рабочего дня, следующего за днем прибытия к месту работы.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6. Уведомление составляется в произвольной форме, подписывается работником лично и должно содержать следующие сведения: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1) должность, фамилия, имя, отчество руководителя организации;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2) должность, фамилия, имя, отчество, номер телефона работника;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3) 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4) подробные сведения о коррупционных правонарушениях, которые должен был бы совершить работник по просьбе обратившихся лиц;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5) известные сведения о физическом (юридическом) лице (лицах),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6) 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 уведомлению прилагаются имеющиеся материалы, подтверждающие обстоятельства обращения в целях склонения работника к совершению коррупционного правонарушения.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7. 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– Журнал) согласно приложению к Порядку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  <w:proofErr w:type="gramEnd"/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Журнал оформляется, регистрируется и брошюруется в соответствии с правилами делопроизводства. Журнал ведется и хранится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 кадровом подразделении организации в защищенном от несанкционированного доступа месте в течение пяти лет с момента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регистрации в нем последнего уведомления, после чего передается в архив.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8. В день регистрации уведомления руководитель кадрового подразделения организации передает его руководителю организации для принятия решения о проведении проверки содержащихся в нем сведений,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9. 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Проверка содержащихся в уведомлении сведений осуществляется в порядке, определенном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,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утвержденным приказом Следственного комитета Российской Федерации от 27.06.2014 № 57 (зарегистрирован в Минюсте России 25.08.2014, регистрационный № 33781), с изменениями, внесенными приказом Следственного комитета Российской Федерации от 25.05.2015 № 41 «О внесении изменений в Положение о порядке достоверности и полноты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сведений, представляемых гражданами, претендующими на замещение должностей федеральной государственной службы в Следственном комитете 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Следственного комитета Российской Федерации требований к служебному поведению, </w:t>
      </w:r>
      <w:proofErr w:type="gramStart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утвержденное</w:t>
      </w:r>
      <w:proofErr w:type="gramEnd"/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приказом Следственного комитета Российской Федерации от 27.06.2014 № 57» (зарегистрирован в Минюсте России 04.06.2015, регистрационный № 37536).</w:t>
      </w:r>
    </w:p>
    <w:p w:rsidR="00214B17" w:rsidRPr="00214B17" w:rsidRDefault="00214B17" w:rsidP="00214B17">
      <w:pPr>
        <w:spacing w:after="0" w:line="378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10. Руководитель организации и должностные лица организации, уполномоченные осуществлять прием, регистрацию уведомлений и проверку содержащихся в них сведений,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14B17" w:rsidRPr="00214B17" w:rsidRDefault="00214B17" w:rsidP="00214B17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214B17" w:rsidRPr="00214B17" w:rsidRDefault="00214B17" w:rsidP="00214B17">
      <w:pPr>
        <w:spacing w:before="288" w:after="288" w:line="378" w:lineRule="atLeast"/>
        <w:jc w:val="righ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Приложение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к Порядку уведомления работодателя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о фактах обращения в целях склонения работников,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замещающих отдельные должности на основании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трудового договора в организациях,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созданных для выполнения задач, поставленных перед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Следственным комитетом Российской Федерации,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к совершению коррупционных правонарушений, утвержденному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приказом Следственного комитета Российской Федерации</w:t>
      </w:r>
      <w:r w:rsidRPr="00214B17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от 22.10.2015№ 93</w:t>
      </w:r>
    </w:p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ЖУРНАЛ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регистрации уведомлений о фактах обращения в целях склонения</w:t>
      </w:r>
      <w:r w:rsidRPr="00214B17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br/>
      </w:r>
      <w:r w:rsidRPr="00214B17">
        <w:rPr>
          <w:rFonts w:ascii="Arial" w:eastAsia="Times New Roman" w:hAnsi="Arial" w:cs="Arial"/>
          <w:b/>
          <w:bCs/>
          <w:color w:val="2B2B2B"/>
          <w:sz w:val="21"/>
          <w:lang w:eastAsia="ru-RU"/>
        </w:rPr>
        <w:t>работников к совершению коррупционных правонарушений</w:t>
      </w:r>
    </w:p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_____________________________________________________</w:t>
      </w:r>
    </w:p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(наименование организации)</w:t>
      </w:r>
    </w:p>
    <w:p w:rsidR="00214B17" w:rsidRPr="00214B17" w:rsidRDefault="00214B17" w:rsidP="00214B17">
      <w:pPr>
        <w:spacing w:before="288" w:after="288" w:line="378" w:lineRule="atLeast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(рекомендуемый образец)</w:t>
      </w:r>
    </w:p>
    <w:p w:rsidR="00214B17" w:rsidRPr="00214B17" w:rsidRDefault="00214B17" w:rsidP="00214B17">
      <w:pPr>
        <w:spacing w:before="288" w:after="288" w:line="378" w:lineRule="atLeast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214B17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tbl>
      <w:tblPr>
        <w:tblW w:w="10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1319"/>
        <w:gridCol w:w="1428"/>
        <w:gridCol w:w="1357"/>
        <w:gridCol w:w="1401"/>
        <w:gridCol w:w="1482"/>
        <w:gridCol w:w="1741"/>
        <w:gridCol w:w="1394"/>
      </w:tblGrid>
      <w:tr w:rsidR="00214B17" w:rsidRPr="00214B17" w:rsidTr="00214B17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lastRenderedPageBreak/>
              <w:t>№</w:t>
            </w:r>
          </w:p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/</w:t>
            </w:r>
            <w:proofErr w:type="spellStart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Дата и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время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регистрации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lang w:eastAsia="ru-RU"/>
              </w:rPr>
              <w:t> 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уведомления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Регистр</w:t>
            </w:r>
            <w:proofErr w:type="gramStart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а-</w:t>
            </w:r>
            <w:proofErr w:type="gramEnd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</w:r>
            <w:proofErr w:type="spellStart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ционный</w:t>
            </w:r>
            <w:proofErr w:type="spellEnd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номер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уведомления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Количество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листов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ФИО,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должность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</w:r>
            <w:proofErr w:type="gramStart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уведомление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Краткое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содержание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уведомления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ФИО и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подпись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лица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регистрирующего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Сведения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о принятом</w:t>
            </w: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br/>
              <w:t>решении, дата</w:t>
            </w:r>
          </w:p>
        </w:tc>
      </w:tr>
      <w:tr w:rsidR="00214B17" w:rsidRPr="00214B17" w:rsidTr="00214B17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214B17" w:rsidRPr="00214B17" w:rsidTr="00214B17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17" w:rsidRPr="00214B17" w:rsidRDefault="00214B17" w:rsidP="00214B17">
            <w:pPr>
              <w:spacing w:before="288" w:after="288" w:line="378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214B1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</w:tbl>
    <w:p w:rsidR="004513B2" w:rsidRPr="00214B17" w:rsidRDefault="004513B2" w:rsidP="00214B17"/>
    <w:sectPr w:rsidR="004513B2" w:rsidRPr="00214B17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4B17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1D5C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527E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0BA2"/>
    <w:rsid w:val="007F378A"/>
    <w:rsid w:val="00810A58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445CB"/>
    <w:rsid w:val="00B55BD2"/>
    <w:rsid w:val="00B56F57"/>
    <w:rsid w:val="00BA0660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60"/>
    <w:rPr>
      <w:b/>
      <w:bCs/>
    </w:rPr>
  </w:style>
  <w:style w:type="character" w:customStyle="1" w:styleId="apple-converted-space">
    <w:name w:val="apple-converted-space"/>
    <w:basedOn w:val="a0"/>
    <w:rsid w:val="0072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9534</Characters>
  <Application>Microsoft Office Word</Application>
  <DocSecurity>0</DocSecurity>
  <Lines>79</Lines>
  <Paragraphs>22</Paragraphs>
  <ScaleCrop>false</ScaleCrop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2016-01-20T12:09:00Z</dcterms:created>
  <dcterms:modified xsi:type="dcterms:W3CDTF">2016-01-20T12:09:00Z</dcterms:modified>
</cp:coreProperties>
</file>